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GGSL Booking and Cancellation Policy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Booking &amp; Payment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Full Payment Required: All consultations must be paid in full at the time of booking.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Booking Confirmation: A confirmation email with session details (date, time, and subject) will be sent upon successful payment.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Rescheduling Policy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Advance Notice: Clients may reschedule their session if they provide at least 48 hours’ notice.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One Free Reschedule: Clients are entitled to one free reschedule per booking.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Additional Reschedules: Any further rescheduling requests will incur a $500 administrative fee.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Cancellation &amp; Refund Policy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Cancellations Made 48+ Hours Before the Session: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Eligible for a full refund, processed within 7 business days.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Cancellations Within 48 Hours of the Session: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Subject to a 50% cancellation fee; the remaining 50% will be refunded within 7 business days.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No-Show Policy: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If a client fails to attend the session without prior notice, the full consultation fee is forfeited.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 Late Arrival Policy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Clients who arrive late will only receive the remaining time of their scheduled session.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No extensions or refunds will be provided for late arrivals.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 Technical Issues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If technical issues on GGSL’s side prevent the session from taking place: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The session will be rescheduled at no additional cost.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If rescheduling is not possible, a full refund will be issued.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 Refund Processing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Refunds are issued to the original payment method.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Processing time: 7–10 business days, depending on the payment provider.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7. Policy Updates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GGSL reserves the right to modify this policy at any time. Clients will be notified of changes via email or through our online platform.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8. Acceptance of Terms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booking a consultation with GGSL, clients acknowledge and agree to the terms outlined in this policy.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9. Contact Information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inquiries or assistance: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📧 Email: [Support@GGSLUSA.com]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📞 Phone: [+1 (714) 333-7814]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